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E3A2" w14:textId="26E6D99C" w:rsidR="002A6859" w:rsidRDefault="002A6859" w:rsidP="002A6859">
      <w:pPr>
        <w:jc w:val="center"/>
        <w:rPr>
          <w:rFonts w:ascii="Arial" w:hAnsi="Arial" w:cs="Arial"/>
          <w:b/>
          <w:noProof/>
          <w:color w:val="C45911" w:themeColor="accent2" w:themeShade="BF"/>
          <w:sz w:val="44"/>
          <w:lang w:eastAsia="en-GB"/>
        </w:rPr>
      </w:pPr>
      <w:r w:rsidRPr="00CD3423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2F1A9CC" wp14:editId="4D98B215">
            <wp:simplePos x="0" y="0"/>
            <wp:positionH relativeFrom="column">
              <wp:posOffset>47625</wp:posOffset>
            </wp:positionH>
            <wp:positionV relativeFrom="paragraph">
              <wp:posOffset>79895</wp:posOffset>
            </wp:positionV>
            <wp:extent cx="2609215" cy="1360805"/>
            <wp:effectExtent l="0" t="0" r="635" b="0"/>
            <wp:wrapTight wrapText="bothSides">
              <wp:wrapPolygon edited="0">
                <wp:start x="0" y="0"/>
                <wp:lineTo x="0" y="21167"/>
                <wp:lineTo x="21448" y="21167"/>
                <wp:lineTo x="21448" y="0"/>
                <wp:lineTo x="0" y="0"/>
              </wp:wrapPolygon>
            </wp:wrapTight>
            <wp:docPr id="1" name="Picture 1" descr="Alaina Kleinbeck: Foot washing is about love, not just servanthood | Faith  and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ina Kleinbeck: Foot washing is about love, not just servanthood | Faith  and Lead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88502" w14:textId="6BBC2CF5" w:rsidR="009239D7" w:rsidRDefault="009239D7" w:rsidP="009239D7">
      <w:pPr>
        <w:jc w:val="center"/>
        <w:rPr>
          <w:rFonts w:ascii="Arial" w:hAnsi="Arial" w:cs="Arial"/>
          <w:b/>
          <w:noProof/>
          <w:color w:val="C45911" w:themeColor="accent2" w:themeShade="BF"/>
          <w:sz w:val="44"/>
          <w:lang w:eastAsia="en-GB"/>
        </w:rPr>
      </w:pPr>
      <w:r w:rsidRPr="009239D7">
        <w:rPr>
          <w:rFonts w:ascii="Arial" w:hAnsi="Arial" w:cs="Arial"/>
          <w:b/>
          <w:noProof/>
          <w:color w:val="C45911" w:themeColor="accent2" w:themeShade="BF"/>
          <w:sz w:val="44"/>
          <w:lang w:eastAsia="en-GB"/>
        </w:rPr>
        <w:t>Maundy Thursday Experience</w:t>
      </w:r>
    </w:p>
    <w:p w14:paraId="02936C8E" w14:textId="34DBE9F6" w:rsidR="009239D7" w:rsidRPr="00FA1003" w:rsidRDefault="009239D7" w:rsidP="009239D7">
      <w:pPr>
        <w:jc w:val="center"/>
        <w:rPr>
          <w:rFonts w:ascii="Arial" w:hAnsi="Arial" w:cs="Arial"/>
          <w:b/>
          <w:noProof/>
          <w:color w:val="C45911" w:themeColor="accent2" w:themeShade="BF"/>
          <w:sz w:val="40"/>
          <w:lang w:eastAsia="en-GB"/>
        </w:rPr>
      </w:pPr>
    </w:p>
    <w:p w14:paraId="153A6933" w14:textId="137F7462" w:rsidR="002A6859" w:rsidRDefault="002A6859" w:rsidP="009239D7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1BA0A0AB" w14:textId="77777777" w:rsidR="002A6859" w:rsidRDefault="002A6859" w:rsidP="009239D7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6CB83A5B" w14:textId="65A34F43" w:rsidR="009239D7" w:rsidRPr="00FA1003" w:rsidRDefault="009239D7" w:rsidP="009239D7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>Welcome to our ‘Maundy Thursday Experience.’ The evening will run unprompted so do please read these instructions carefully when you arrive. We will be particulalry using videos of John 13-18 to reflect this year, and then gathering inside and outside to dwell with God in the story. Times will be approximate.</w:t>
      </w:r>
    </w:p>
    <w:p w14:paraId="72A3ACCB" w14:textId="77777777" w:rsidR="009239D7" w:rsidRPr="00FA1003" w:rsidRDefault="009239D7" w:rsidP="009239D7">
      <w:pPr>
        <w:ind w:left="1134" w:hanging="1134"/>
        <w:jc w:val="both"/>
        <w:rPr>
          <w:rFonts w:ascii="Arial" w:hAnsi="Arial" w:cs="Arial"/>
          <w:noProof/>
          <w:sz w:val="24"/>
          <w:lang w:eastAsia="en-GB"/>
        </w:rPr>
      </w:pPr>
    </w:p>
    <w:p w14:paraId="0C28E2B5" w14:textId="60E0BCD4" w:rsidR="009239D7" w:rsidRPr="00FA1003" w:rsidRDefault="009239D7" w:rsidP="009239D7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7pm ‘Footwashing.’ (John 13:1-17)</w:t>
      </w:r>
      <w:r w:rsidR="000C7BAB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 xml:space="preserve"> </w:t>
      </w:r>
    </w:p>
    <w:p w14:paraId="178DF014" w14:textId="12DB3343" w:rsidR="009239D7" w:rsidRPr="00FA1003" w:rsidRDefault="009239D7" w:rsidP="009239D7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 xml:space="preserve">We begin this evening in the upper </w:t>
      </w:r>
      <w:r w:rsidR="000C5B01">
        <w:rPr>
          <w:rFonts w:ascii="Arial" w:hAnsi="Arial" w:cs="Arial"/>
          <w:noProof/>
          <w:sz w:val="24"/>
          <w:lang w:eastAsia="en-GB"/>
        </w:rPr>
        <w:t>room, reflecting on Jesus washi</w:t>
      </w:r>
      <w:r w:rsidRPr="00FA1003">
        <w:rPr>
          <w:rFonts w:ascii="Arial" w:hAnsi="Arial" w:cs="Arial"/>
          <w:noProof/>
          <w:sz w:val="24"/>
          <w:lang w:eastAsia="en-GB"/>
        </w:rPr>
        <w:t>n</w:t>
      </w:r>
      <w:r w:rsidR="000C5B01">
        <w:rPr>
          <w:rFonts w:ascii="Arial" w:hAnsi="Arial" w:cs="Arial"/>
          <w:noProof/>
          <w:sz w:val="24"/>
          <w:lang w:eastAsia="en-GB"/>
        </w:rPr>
        <w:t>g</w:t>
      </w:r>
      <w:r w:rsidRPr="00FA1003">
        <w:rPr>
          <w:rFonts w:ascii="Arial" w:hAnsi="Arial" w:cs="Arial"/>
          <w:noProof/>
          <w:sz w:val="24"/>
          <w:lang w:eastAsia="en-GB"/>
        </w:rPr>
        <w:t xml:space="preserve"> the disciples feet. There will be an opportunity to wash each other’s feet if you wish. </w:t>
      </w:r>
    </w:p>
    <w:p w14:paraId="19367EE5" w14:textId="7707C187" w:rsidR="000C5B01" w:rsidRPr="00FA1003" w:rsidRDefault="000C5B01" w:rsidP="009239D7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20E1170C" w14:textId="77777777" w:rsidR="009239D7" w:rsidRPr="00FA1003" w:rsidRDefault="009239D7" w:rsidP="009239D7">
      <w:pPr>
        <w:jc w:val="both"/>
        <w:rPr>
          <w:rFonts w:ascii="Arial" w:hAnsi="Arial" w:cs="Arial"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As you do so, or watch on, reflect on the following:</w:t>
      </w:r>
    </w:p>
    <w:p w14:paraId="763DDD74" w14:textId="77777777" w:rsidR="009239D7" w:rsidRPr="00FA1003" w:rsidRDefault="009239D7" w:rsidP="009239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What must it have been like for the disciples to have their feet washed by Jesus?</w:t>
      </w:r>
    </w:p>
    <w:p w14:paraId="3E65B0E3" w14:textId="77777777" w:rsidR="009239D7" w:rsidRPr="00FA1003" w:rsidRDefault="009239D7" w:rsidP="009239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What do Jesus’ words ‘Now that I your Lord and teacher have washed your feet, you also should wash one another’s feet’ </w:t>
      </w:r>
    </w:p>
    <w:p w14:paraId="37E3ED37" w14:textId="5672A447" w:rsidR="009239D7" w:rsidRPr="00FA1003" w:rsidRDefault="009239D7" w:rsidP="009239D7">
      <w:pPr>
        <w:jc w:val="both"/>
        <w:rPr>
          <w:rFonts w:ascii="Arial" w:hAnsi="Arial" w:cs="Arial"/>
          <w:noProof/>
          <w:sz w:val="20"/>
          <w:lang w:eastAsia="en-GB"/>
        </w:rPr>
      </w:pPr>
    </w:p>
    <w:p w14:paraId="719791E7" w14:textId="77777777" w:rsidR="002A6859" w:rsidRDefault="002A6859" w:rsidP="009239D7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5124DE7D" w14:textId="77777777" w:rsidR="002A6859" w:rsidRDefault="002A6859" w:rsidP="009239D7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3E102B0D" w14:textId="5EC54640" w:rsidR="009239D7" w:rsidRPr="00FA1003" w:rsidRDefault="006873F3" w:rsidP="009239D7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7:30</w:t>
      </w:r>
      <w:r w:rsidR="009239D7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pm ‘Sharin</w:t>
      </w:r>
      <w:r w:rsidR="00A45816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g bread and wine’ (John 13:18 – 14:</w:t>
      </w:r>
      <w:r w:rsidR="00707FFE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31</w:t>
      </w:r>
      <w:r w:rsidR="009239D7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)</w:t>
      </w:r>
    </w:p>
    <w:p w14:paraId="6016122D" w14:textId="26781BC4" w:rsidR="009239D7" w:rsidRPr="00FA1003" w:rsidRDefault="009239D7" w:rsidP="00F76504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 xml:space="preserve">We then </w:t>
      </w:r>
      <w:r w:rsidR="00F76504" w:rsidRPr="00FA1003">
        <w:rPr>
          <w:rFonts w:ascii="Arial" w:hAnsi="Arial" w:cs="Arial"/>
          <w:noProof/>
          <w:sz w:val="24"/>
          <w:lang w:eastAsia="en-GB"/>
        </w:rPr>
        <w:t xml:space="preserve">dwell around the table at the Last Supper, listening to the conversations, and sharing communion together. </w:t>
      </w:r>
    </w:p>
    <w:p w14:paraId="31B7797F" w14:textId="554E7512" w:rsidR="000C5B01" w:rsidRPr="00FA1003" w:rsidRDefault="000C5B01" w:rsidP="00F76504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3537CD7A" w14:textId="0346A33C" w:rsidR="00F76504" w:rsidRPr="00FA1003" w:rsidRDefault="00F76504" w:rsidP="00F76504">
      <w:pPr>
        <w:jc w:val="both"/>
        <w:rPr>
          <w:rFonts w:ascii="Arial" w:hAnsi="Arial" w:cs="Arial"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As you take the bread and wine, reflect on the following:</w:t>
      </w:r>
    </w:p>
    <w:p w14:paraId="38D29CF5" w14:textId="1DB588D9" w:rsidR="00F76504" w:rsidRPr="00FA1003" w:rsidRDefault="00F76504" w:rsidP="00F765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What must Jesus have felt sharing the table with Judas who would betray him and Peter who would deny him? How did he respond?</w:t>
      </w:r>
    </w:p>
    <w:p w14:paraId="02DC4277" w14:textId="65D29112" w:rsidR="00F76504" w:rsidRDefault="00F76504" w:rsidP="00F765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As you take the bread and wine, dwell once again in what Jesus went through that night for you. </w:t>
      </w:r>
    </w:p>
    <w:p w14:paraId="5A145327" w14:textId="7890EFE0" w:rsidR="00707FFE" w:rsidRPr="00FA1003" w:rsidRDefault="00707FFE" w:rsidP="00F765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Dwell once more in those comforting words of Jesus ‘Peace I leave with you, my peace I give you. I do not give as the world gives. Do not let your hearts be troubled and do not be afraid’ </w:t>
      </w:r>
    </w:p>
    <w:p w14:paraId="1ADB5410" w14:textId="47530727" w:rsidR="00F76504" w:rsidRPr="00FA1003" w:rsidRDefault="00F76504" w:rsidP="00F76504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4C1FE91F" w14:textId="1EA4C07C" w:rsidR="000C5B01" w:rsidRDefault="000C5B01" w:rsidP="000C7BAB">
      <w:pPr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481B209A" w14:textId="4E161C5D" w:rsidR="006C22AD" w:rsidRPr="00FA1003" w:rsidRDefault="00A903C7" w:rsidP="006C22AD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  <w:r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7:55</w:t>
      </w:r>
      <w:r w:rsidR="006C22AD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pm ‘Heading out to th</w:t>
      </w:r>
      <w:r w:rsidR="002A2684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e Mount of Olives’ (John 15 &amp; 16</w:t>
      </w:r>
      <w:r w:rsidR="006C22AD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)</w:t>
      </w:r>
      <w:r w:rsidR="00707FFE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 xml:space="preserve"> </w:t>
      </w:r>
    </w:p>
    <w:p w14:paraId="53BE8444" w14:textId="07231115" w:rsidR="006C22AD" w:rsidRPr="00FA1003" w:rsidRDefault="006C22AD" w:rsidP="006C22AD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>Jesus and his disciples then headed out to the Mount of Olives and the Garden of Gethsemane. As they did, Jesus continued to teach abou</w:t>
      </w:r>
      <w:r w:rsidR="00707FFE">
        <w:rPr>
          <w:rFonts w:ascii="Arial" w:hAnsi="Arial" w:cs="Arial"/>
          <w:noProof/>
          <w:sz w:val="24"/>
          <w:lang w:eastAsia="en-GB"/>
        </w:rPr>
        <w:t xml:space="preserve">t the vine and the branches, the Holy Spirit and about what was ahead. </w:t>
      </w:r>
    </w:p>
    <w:p w14:paraId="4EE51A1D" w14:textId="77777777" w:rsidR="006C22AD" w:rsidRPr="00FA1003" w:rsidRDefault="006C22AD" w:rsidP="006C22AD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4627BC93" w14:textId="54563986" w:rsidR="006C22AD" w:rsidRPr="00FA1003" w:rsidRDefault="009136E9" w:rsidP="006C22AD">
      <w:pPr>
        <w:jc w:val="both"/>
        <w:rPr>
          <w:rFonts w:ascii="Arial" w:hAnsi="Arial" w:cs="Arial"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Either insi</w:t>
      </w:r>
      <w:r w:rsidR="006C22AD"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d</w:t>
      </w: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e</w:t>
      </w:r>
      <w:r w:rsidR="006C22AD"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 xml:space="preserve"> the church, our outside in the garden, take time to reflect </w:t>
      </w:r>
      <w:r w:rsidR="00707FFE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 xml:space="preserve">on these words. </w:t>
      </w:r>
      <w:r w:rsidR="002A2684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 xml:space="preserve">Use some Lectio Divina techniques… </w:t>
      </w:r>
    </w:p>
    <w:p w14:paraId="55C716EF" w14:textId="0C9F9117" w:rsidR="006C22AD" w:rsidRDefault="00A903C7" w:rsidP="006C22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What word or phrase in these chapters does God draw you to?</w:t>
      </w:r>
    </w:p>
    <w:p w14:paraId="608DC63E" w14:textId="0618F035" w:rsidR="00A903C7" w:rsidRPr="00FA1003" w:rsidRDefault="00A903C7" w:rsidP="006C22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Pray into that phrase and dwell in it. What does God want to say to you tonight?</w:t>
      </w:r>
    </w:p>
    <w:p w14:paraId="1764E4EB" w14:textId="6EE7DEFB" w:rsidR="006C22AD" w:rsidRPr="00FA1003" w:rsidRDefault="006C22AD" w:rsidP="006C22AD">
      <w:p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</w:p>
    <w:p w14:paraId="581CA22D" w14:textId="77777777" w:rsidR="000C7BAB" w:rsidRDefault="000C7BAB" w:rsidP="007A0334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08E3181B" w14:textId="77777777" w:rsidR="000C7BAB" w:rsidRDefault="000C7BAB" w:rsidP="007A0334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783C554D" w14:textId="77777777" w:rsidR="000C7BAB" w:rsidRDefault="000C7BAB" w:rsidP="007A0334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76C7DAB2" w14:textId="1689F687" w:rsidR="007A0334" w:rsidRPr="00FA1003" w:rsidRDefault="007A0334" w:rsidP="002A6859">
      <w:pPr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8:</w:t>
      </w:r>
      <w:r w:rsidR="00A903C7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20</w:t>
      </w: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pm ‘Praying in the garden’ (</w:t>
      </w:r>
      <w:r w:rsidR="009136E9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John 17</w:t>
      </w: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)</w:t>
      </w:r>
    </w:p>
    <w:p w14:paraId="6C1DD280" w14:textId="4928F658" w:rsidR="007A0334" w:rsidRPr="00FA1003" w:rsidRDefault="009136E9" w:rsidP="007A0334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>In the garden Jesus prayed these remarkable prayers… for himself….for his disciples… for all believers (that’s us!). Listen carefully to his prayers.</w:t>
      </w:r>
    </w:p>
    <w:p w14:paraId="437F688F" w14:textId="77777777" w:rsidR="009136E9" w:rsidRPr="00FA1003" w:rsidRDefault="009136E9" w:rsidP="007A0334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09C4C163" w14:textId="461122BC" w:rsidR="009136E9" w:rsidRPr="00FA1003" w:rsidRDefault="009136E9" w:rsidP="009136E9">
      <w:pPr>
        <w:jc w:val="both"/>
        <w:rPr>
          <w:rFonts w:ascii="Arial" w:hAnsi="Arial" w:cs="Arial"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>Either inside the church, our outside in the garden, take time to reflect on these remarkable prayers.</w:t>
      </w:r>
    </w:p>
    <w:p w14:paraId="5C3BB0B4" w14:textId="748A8CE4" w:rsidR="009136E9" w:rsidRPr="00FA1003" w:rsidRDefault="009136E9" w:rsidP="009136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How do you feel to know that Jesus was praying for you on that night before he died? </w:t>
      </w:r>
    </w:p>
    <w:p w14:paraId="78F6DD00" w14:textId="2917F80A" w:rsidR="009136E9" w:rsidRPr="00FA1003" w:rsidRDefault="009136E9" w:rsidP="009136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Take </w:t>
      </w:r>
      <w:r w:rsid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some time to pray in the garden for people you know who are in need at this time. You might like to tie a ribbon on our prayer tree to represent your prayer for them. </w:t>
      </w:r>
    </w:p>
    <w:p w14:paraId="4150FFC3" w14:textId="1319BD70" w:rsidR="004622A3" w:rsidRPr="00FA1003" w:rsidRDefault="004622A3" w:rsidP="00FA1003">
      <w:p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</w:p>
    <w:p w14:paraId="6FFC8041" w14:textId="77777777" w:rsidR="002A6859" w:rsidRDefault="002A6859" w:rsidP="004622A3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0328DE1C" w14:textId="45C34A0C" w:rsidR="004622A3" w:rsidRPr="00A903C7" w:rsidRDefault="004622A3" w:rsidP="004622A3">
      <w:pPr>
        <w:ind w:left="1134" w:hanging="1134"/>
        <w:jc w:val="both"/>
        <w:rPr>
          <w:rFonts w:ascii="Arial" w:hAnsi="Arial" w:cs="Arial"/>
          <w:b/>
          <w:noProof/>
          <w:color w:val="5B9BD5" w:themeColor="accent1"/>
          <w:sz w:val="28"/>
          <w:lang w:eastAsia="en-GB"/>
        </w:rPr>
      </w:pP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8:</w:t>
      </w:r>
      <w:r w:rsidR="00A903C7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40</w:t>
      </w: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 xml:space="preserve">pm ‘The </w:t>
      </w:r>
      <w:r w:rsidR="00A903C7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arrest and denials’ (John 18:1</w:t>
      </w:r>
      <w:r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-27)</w:t>
      </w:r>
    </w:p>
    <w:p w14:paraId="1BF16FF2" w14:textId="6C01B411" w:rsidR="000C5B01" w:rsidRDefault="004622A3" w:rsidP="004622A3">
      <w:pPr>
        <w:jc w:val="both"/>
        <w:rPr>
          <w:rFonts w:ascii="Arial" w:hAnsi="Arial" w:cs="Arial"/>
          <w:noProof/>
          <w:sz w:val="24"/>
          <w:lang w:eastAsia="en-GB"/>
        </w:rPr>
      </w:pPr>
      <w:r w:rsidRPr="00FA1003">
        <w:rPr>
          <w:rFonts w:ascii="Arial" w:hAnsi="Arial" w:cs="Arial"/>
          <w:noProof/>
          <w:sz w:val="24"/>
          <w:lang w:eastAsia="en-GB"/>
        </w:rPr>
        <w:t xml:space="preserve">We </w:t>
      </w:r>
      <w:r w:rsidR="00A903C7">
        <w:rPr>
          <w:rFonts w:ascii="Arial" w:hAnsi="Arial" w:cs="Arial"/>
          <w:noProof/>
          <w:sz w:val="24"/>
          <w:lang w:eastAsia="en-GB"/>
        </w:rPr>
        <w:t xml:space="preserve">watch Jesus being arrested, his disciples deserting him and Peter denying him. </w:t>
      </w:r>
    </w:p>
    <w:p w14:paraId="46936BB1" w14:textId="77777777" w:rsidR="000C5B01" w:rsidRPr="00FA1003" w:rsidRDefault="000C5B01" w:rsidP="004622A3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38749150" w14:textId="3CD95D1A" w:rsidR="004622A3" w:rsidRPr="00FA1003" w:rsidRDefault="004622A3" w:rsidP="004622A3">
      <w:pPr>
        <w:jc w:val="both"/>
        <w:rPr>
          <w:rFonts w:ascii="Arial" w:hAnsi="Arial" w:cs="Arial"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noProof/>
          <w:color w:val="C45911" w:themeColor="accent2" w:themeShade="BF"/>
          <w:sz w:val="24"/>
          <w:lang w:eastAsia="en-GB"/>
        </w:rPr>
        <w:t xml:space="preserve">After watching the video, head out to the fire in the courtyard and sit by it for a while. </w:t>
      </w:r>
    </w:p>
    <w:p w14:paraId="3158CB73" w14:textId="21268D8C" w:rsidR="004622A3" w:rsidRPr="00FA1003" w:rsidRDefault="004622A3" w:rsidP="004622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 xml:space="preserve">Where do you deny Jesus in your everyday life? </w:t>
      </w:r>
    </w:p>
    <w:p w14:paraId="3681C57B" w14:textId="6542669F" w:rsidR="004622A3" w:rsidRPr="00FA1003" w:rsidRDefault="004622A3" w:rsidP="004622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What do you need to confess to God and allow him to forgive you and restore you?</w:t>
      </w:r>
    </w:p>
    <w:p w14:paraId="3F67BE4C" w14:textId="77777777" w:rsidR="004622A3" w:rsidRPr="00FA1003" w:rsidRDefault="004622A3" w:rsidP="004622A3">
      <w:pPr>
        <w:pStyle w:val="ListParagraph"/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</w:p>
    <w:p w14:paraId="6B9B2F98" w14:textId="3E51DAC4" w:rsidR="004622A3" w:rsidRPr="00FA1003" w:rsidRDefault="004622A3" w:rsidP="004622A3">
      <w:p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  <w:r w:rsidRPr="00FA1003"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  <w:t>You may like to write something on a piece of paper and then throw it in the fire as a sign of God’s forgiveness….</w:t>
      </w:r>
    </w:p>
    <w:p w14:paraId="2B81DD32" w14:textId="77777777" w:rsidR="004622A3" w:rsidRPr="00FA1003" w:rsidRDefault="004622A3" w:rsidP="004622A3">
      <w:pPr>
        <w:jc w:val="both"/>
        <w:rPr>
          <w:rFonts w:ascii="Arial" w:hAnsi="Arial" w:cs="Arial"/>
          <w:i/>
          <w:noProof/>
          <w:color w:val="C45911" w:themeColor="accent2" w:themeShade="BF"/>
          <w:sz w:val="24"/>
          <w:lang w:eastAsia="en-GB"/>
        </w:rPr>
      </w:pPr>
    </w:p>
    <w:p w14:paraId="278E4B82" w14:textId="77777777" w:rsidR="002A6859" w:rsidRDefault="002A6859" w:rsidP="00FA1003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5192D838" w14:textId="77777777" w:rsidR="002A6859" w:rsidRDefault="002A6859" w:rsidP="00FA1003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</w:p>
    <w:p w14:paraId="03D1D22A" w14:textId="18F3871B" w:rsidR="004622A3" w:rsidRPr="00FA1003" w:rsidRDefault="00FA1003" w:rsidP="00FA1003">
      <w:pPr>
        <w:ind w:left="1134" w:hanging="1134"/>
        <w:jc w:val="both"/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</w:pPr>
      <w:r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9</w:t>
      </w:r>
      <w:r w:rsidR="004622A3" w:rsidRPr="00FA1003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>pm ‘</w:t>
      </w:r>
      <w:r w:rsidR="00A903C7">
        <w:rPr>
          <w:rFonts w:ascii="Arial" w:hAnsi="Arial" w:cs="Arial"/>
          <w:b/>
          <w:noProof/>
          <w:color w:val="C45911" w:themeColor="accent2" w:themeShade="BF"/>
          <w:sz w:val="28"/>
          <w:lang w:eastAsia="en-GB"/>
        </w:rPr>
        <w:t xml:space="preserve">Jesus is sentenced to be crucified’ (John 18:28-40) </w:t>
      </w:r>
    </w:p>
    <w:p w14:paraId="59CFF75B" w14:textId="38E30D04" w:rsidR="004622A3" w:rsidRPr="00FA1003" w:rsidRDefault="004622A3" w:rsidP="004622A3">
      <w:pPr>
        <w:jc w:val="both"/>
        <w:rPr>
          <w:rFonts w:ascii="Arial" w:hAnsi="Arial" w:cs="Arial"/>
          <w:noProof/>
          <w:sz w:val="24"/>
          <w:lang w:eastAsia="en-GB"/>
        </w:rPr>
      </w:pPr>
    </w:p>
    <w:p w14:paraId="7977241F" w14:textId="48A62613" w:rsidR="00EB7CC7" w:rsidRPr="00FA1003" w:rsidRDefault="00A903C7" w:rsidP="004622A3">
      <w:pPr>
        <w:jc w:val="both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We finish with Jesus being sentenced to death. We dwell in what it must have been like for him. But we leave knowing this was not the end of the story….</w:t>
      </w:r>
    </w:p>
    <w:p w14:paraId="300F9504" w14:textId="77777777" w:rsidR="004622A3" w:rsidRDefault="004622A3" w:rsidP="004622A3">
      <w:pPr>
        <w:jc w:val="both"/>
        <w:rPr>
          <w:rFonts w:ascii="Arial" w:hAnsi="Arial" w:cs="Arial"/>
          <w:noProof/>
          <w:sz w:val="28"/>
          <w:lang w:eastAsia="en-GB"/>
        </w:rPr>
      </w:pPr>
    </w:p>
    <w:p w14:paraId="0EE65F13" w14:textId="7D40B386" w:rsidR="00F76504" w:rsidRDefault="00F76504" w:rsidP="00F76504">
      <w:pPr>
        <w:jc w:val="both"/>
        <w:rPr>
          <w:rFonts w:ascii="Arial" w:hAnsi="Arial" w:cs="Arial"/>
          <w:noProof/>
          <w:sz w:val="28"/>
          <w:lang w:eastAsia="en-GB"/>
        </w:rPr>
      </w:pPr>
    </w:p>
    <w:p w14:paraId="5E44311C" w14:textId="77777777" w:rsidR="000C5B01" w:rsidRDefault="000C5B01" w:rsidP="000C5B01">
      <w:pPr>
        <w:jc w:val="both"/>
        <w:rPr>
          <w:rFonts w:ascii="Arial" w:hAnsi="Arial" w:cs="Arial"/>
          <w:noProof/>
          <w:sz w:val="28"/>
          <w:lang w:eastAsia="en-GB"/>
        </w:rPr>
      </w:pPr>
    </w:p>
    <w:p w14:paraId="702D3F9F" w14:textId="2EDC96FE" w:rsidR="009239D7" w:rsidRDefault="009239D7" w:rsidP="004622A3">
      <w:pPr>
        <w:jc w:val="both"/>
        <w:rPr>
          <w:rFonts w:ascii="Arial" w:hAnsi="Arial" w:cs="Arial"/>
          <w:noProof/>
          <w:sz w:val="28"/>
          <w:lang w:eastAsia="en-GB"/>
        </w:rPr>
      </w:pPr>
    </w:p>
    <w:p w14:paraId="12EEA0DD" w14:textId="77777777" w:rsidR="009239D7" w:rsidRPr="00BC4DDC" w:rsidRDefault="009239D7" w:rsidP="009239D7">
      <w:pPr>
        <w:jc w:val="both"/>
        <w:rPr>
          <w:rFonts w:ascii="Arial" w:hAnsi="Arial" w:cs="Arial"/>
          <w:noProof/>
          <w:sz w:val="20"/>
          <w:lang w:eastAsia="en-GB"/>
        </w:rPr>
      </w:pPr>
    </w:p>
    <w:p w14:paraId="679DF98D" w14:textId="77777777" w:rsidR="00E139DD" w:rsidRDefault="00E139DD">
      <w:bookmarkStart w:id="0" w:name="_GoBack"/>
      <w:bookmarkEnd w:id="0"/>
    </w:p>
    <w:sectPr w:rsidR="00E139DD" w:rsidSect="000C5B01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A2A"/>
    <w:multiLevelType w:val="hybridMultilevel"/>
    <w:tmpl w:val="57B2C0C8"/>
    <w:lvl w:ilvl="0" w:tplc="CE5C2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E1466"/>
    <w:multiLevelType w:val="hybridMultilevel"/>
    <w:tmpl w:val="7F7AF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D7"/>
    <w:rsid w:val="000C5B01"/>
    <w:rsid w:val="000C7BAB"/>
    <w:rsid w:val="00150B50"/>
    <w:rsid w:val="002A2684"/>
    <w:rsid w:val="002A6859"/>
    <w:rsid w:val="003C7F5F"/>
    <w:rsid w:val="003D6500"/>
    <w:rsid w:val="004622A3"/>
    <w:rsid w:val="00573200"/>
    <w:rsid w:val="005770FB"/>
    <w:rsid w:val="006873F3"/>
    <w:rsid w:val="006C22AD"/>
    <w:rsid w:val="00707FFE"/>
    <w:rsid w:val="007A0334"/>
    <w:rsid w:val="009136E9"/>
    <w:rsid w:val="009239D7"/>
    <w:rsid w:val="00A45816"/>
    <w:rsid w:val="00A903C7"/>
    <w:rsid w:val="00BA7591"/>
    <w:rsid w:val="00E139DD"/>
    <w:rsid w:val="00EB7CC7"/>
    <w:rsid w:val="00F76504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798D"/>
  <w15:chartTrackingRefBased/>
  <w15:docId w15:val="{E729389F-690C-4D56-ACB3-9ECD8DBC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A2C14D72546BD8A9CC42227DC35" ma:contentTypeVersion="14" ma:contentTypeDescription="Create a new document." ma:contentTypeScope="" ma:versionID="b9944b0018174a682ac975f5c54453ae">
  <xsd:schema xmlns:xsd="http://www.w3.org/2001/XMLSchema" xmlns:xs="http://www.w3.org/2001/XMLSchema" xmlns:p="http://schemas.microsoft.com/office/2006/metadata/properties" xmlns:ns3="52b7cb0f-6e48-4ad3-b2de-75239fd01e08" xmlns:ns4="244e81ff-b907-4718-8ece-568e1d4ab36a" targetNamespace="http://schemas.microsoft.com/office/2006/metadata/properties" ma:root="true" ma:fieldsID="1f3eba5481808d6c521096101b00f89e" ns3:_="" ns4:_="">
    <xsd:import namespace="52b7cb0f-6e48-4ad3-b2de-75239fd01e08"/>
    <xsd:import namespace="244e81ff-b907-4718-8ece-568e1d4a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cb0f-6e48-4ad3-b2de-75239fd0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81ff-b907-4718-8ece-568e1d4ab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92A14-225B-4956-9FC2-5723DFF1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cb0f-6e48-4ad3-b2de-75239fd01e08"/>
    <ds:schemaRef ds:uri="244e81ff-b907-4718-8ece-568e1d4a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2CE55-17AB-4F2F-9607-28D764F37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FDA12-5BE1-4782-AE77-FA035ACB7C81}">
  <ds:schemaRefs>
    <ds:schemaRef ds:uri="http://schemas.microsoft.com/office/2006/documentManagement/types"/>
    <ds:schemaRef ds:uri="52b7cb0f-6e48-4ad3-b2de-75239fd01e08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4e81ff-b907-4718-8ece-568e1d4ab3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Dave Bruce</cp:lastModifiedBy>
  <cp:revision>3</cp:revision>
  <dcterms:created xsi:type="dcterms:W3CDTF">2023-04-04T14:36:00Z</dcterms:created>
  <dcterms:modified xsi:type="dcterms:W3CDTF">2023-04-04T14:38:00Z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0x010100E2C14A2C14D72546BD8A9CC42227DC35</vt:lpwstr>
  </property>
</Properties>
</file>